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5A78" w14:textId="77777777" w:rsidR="000D0574" w:rsidRDefault="000D0574" w:rsidP="00C16EA4">
      <w:pPr>
        <w:rPr>
          <w:rFonts w:ascii="BlairMdITC TT-Medium" w:hAnsi="BlairMdITC TT-Medium" w:cs="Tahoma"/>
          <w:sz w:val="16"/>
          <w:szCs w:val="16"/>
        </w:rPr>
      </w:pPr>
    </w:p>
    <w:p w14:paraId="6ED6864C" w14:textId="77777777" w:rsidR="00C87EB9" w:rsidRPr="00C87EB9" w:rsidRDefault="00C87EB9" w:rsidP="00C87EB9">
      <w:pPr>
        <w:pStyle w:val="NormalWeb"/>
        <w:spacing w:before="454" w:beforeAutospacing="0" w:after="0" w:afterAutospacing="0"/>
        <w:ind w:left="121"/>
        <w:rPr>
          <w:sz w:val="22"/>
          <w:szCs w:val="22"/>
        </w:rPr>
      </w:pPr>
      <w:r w:rsidRPr="00C87EB9">
        <w:rPr>
          <w:color w:val="000000"/>
          <w:sz w:val="22"/>
          <w:szCs w:val="22"/>
        </w:rPr>
        <w:t>Attention Brookfield Parents: </w:t>
      </w:r>
    </w:p>
    <w:p w14:paraId="36EB0E38" w14:textId="2342A077" w:rsidR="00C87EB9" w:rsidRPr="00C87EB9" w:rsidRDefault="00C87EB9" w:rsidP="00C87EB9">
      <w:pPr>
        <w:pStyle w:val="NormalWeb"/>
        <w:spacing w:before="182" w:beforeAutospacing="0" w:after="0" w:afterAutospacing="0"/>
        <w:ind w:left="125" w:right="58" w:firstLine="11"/>
        <w:jc w:val="both"/>
        <w:rPr>
          <w:sz w:val="22"/>
          <w:szCs w:val="22"/>
        </w:rPr>
      </w:pPr>
      <w:r w:rsidRPr="00C87EB9">
        <w:rPr>
          <w:color w:val="000000"/>
          <w:sz w:val="22"/>
          <w:szCs w:val="22"/>
        </w:rPr>
        <w:t xml:space="preserve">Please be advised </w:t>
      </w:r>
      <w:r w:rsidR="00B5422D">
        <w:rPr>
          <w:color w:val="000000"/>
          <w:sz w:val="22"/>
          <w:szCs w:val="22"/>
        </w:rPr>
        <w:t>of</w:t>
      </w:r>
      <w:r w:rsidRPr="00C87EB9">
        <w:rPr>
          <w:color w:val="000000"/>
          <w:sz w:val="22"/>
          <w:szCs w:val="22"/>
        </w:rPr>
        <w:t xml:space="preserve"> the attendance policy </w:t>
      </w:r>
      <w:r w:rsidR="00B5422D">
        <w:rPr>
          <w:color w:val="000000"/>
          <w:sz w:val="22"/>
          <w:szCs w:val="22"/>
        </w:rPr>
        <w:t xml:space="preserve">according to </w:t>
      </w:r>
      <w:r w:rsidRPr="00C87EB9">
        <w:rPr>
          <w:color w:val="000000"/>
          <w:sz w:val="22"/>
          <w:szCs w:val="22"/>
        </w:rPr>
        <w:t>HB410. Brookfield Local School District will no</w:t>
      </w:r>
      <w:r w:rsidR="00BB4DC3">
        <w:rPr>
          <w:color w:val="000000"/>
          <w:sz w:val="22"/>
          <w:szCs w:val="22"/>
        </w:rPr>
        <w:t xml:space="preserve"> </w:t>
      </w:r>
      <w:r w:rsidRPr="00C87EB9">
        <w:rPr>
          <w:color w:val="000000"/>
          <w:sz w:val="22"/>
          <w:szCs w:val="22"/>
        </w:rPr>
        <w:t xml:space="preserve">longer track students’ attendance by “days”. We will be tracking “hours”. </w:t>
      </w:r>
      <w:r w:rsidRPr="00C87EB9">
        <w:rPr>
          <w:b/>
          <w:bCs/>
          <w:color w:val="000000"/>
          <w:sz w:val="22"/>
          <w:szCs w:val="22"/>
          <w:u w:val="single"/>
        </w:rPr>
        <w:t>One school day is equal to 6 hours</w:t>
      </w:r>
      <w:r w:rsidRPr="00C87EB9">
        <w:rPr>
          <w:color w:val="000000"/>
          <w:sz w:val="22"/>
          <w:szCs w:val="22"/>
          <w:u w:val="single"/>
        </w:rPr>
        <w:t>.</w:t>
      </w:r>
      <w:r w:rsidRPr="00C87EB9">
        <w:rPr>
          <w:color w:val="000000"/>
          <w:sz w:val="22"/>
          <w:szCs w:val="22"/>
        </w:rPr>
        <w:t>  Students who are not excused from school will fall under habitual truancy. Habitual truancy is equal to any unexcused absences and meet the following criteria: </w:t>
      </w:r>
    </w:p>
    <w:p w14:paraId="728D3C0E" w14:textId="77777777" w:rsidR="00C87EB9" w:rsidRPr="00C87EB9" w:rsidRDefault="00C87EB9" w:rsidP="00C87EB9">
      <w:pPr>
        <w:pStyle w:val="NormalWeb"/>
        <w:spacing w:before="190" w:beforeAutospacing="0" w:after="0" w:afterAutospacing="0"/>
        <w:ind w:left="490"/>
        <w:rPr>
          <w:sz w:val="22"/>
          <w:szCs w:val="22"/>
        </w:rPr>
      </w:pPr>
      <w:r w:rsidRPr="00C87EB9">
        <w:rPr>
          <w:color w:val="000000"/>
          <w:sz w:val="22"/>
          <w:szCs w:val="22"/>
        </w:rPr>
        <w:t>∙ 30 or more consecutive hours </w:t>
      </w:r>
    </w:p>
    <w:p w14:paraId="2F45CA64" w14:textId="77777777" w:rsidR="00C87EB9" w:rsidRPr="00C87EB9" w:rsidRDefault="00C87EB9" w:rsidP="00C87EB9">
      <w:pPr>
        <w:pStyle w:val="NormalWeb"/>
        <w:spacing w:before="24" w:beforeAutospacing="0" w:after="0" w:afterAutospacing="0"/>
        <w:ind w:left="490"/>
        <w:rPr>
          <w:sz w:val="22"/>
          <w:szCs w:val="22"/>
        </w:rPr>
      </w:pPr>
      <w:r w:rsidRPr="00C87EB9">
        <w:rPr>
          <w:color w:val="000000"/>
          <w:sz w:val="22"/>
          <w:szCs w:val="22"/>
        </w:rPr>
        <w:t>∙ 42 or more hours in one month </w:t>
      </w:r>
    </w:p>
    <w:p w14:paraId="237227FC" w14:textId="77777777" w:rsidR="00C87EB9" w:rsidRPr="00C87EB9" w:rsidRDefault="00C87EB9" w:rsidP="00C87EB9">
      <w:pPr>
        <w:pStyle w:val="NormalWeb"/>
        <w:spacing w:before="23" w:beforeAutospacing="0" w:after="0" w:afterAutospacing="0"/>
        <w:ind w:left="490"/>
        <w:rPr>
          <w:sz w:val="22"/>
          <w:szCs w:val="22"/>
        </w:rPr>
      </w:pPr>
      <w:r w:rsidRPr="00C87EB9">
        <w:rPr>
          <w:color w:val="000000"/>
          <w:sz w:val="22"/>
          <w:szCs w:val="22"/>
        </w:rPr>
        <w:t>∙ 72 or more hours in one year </w:t>
      </w:r>
    </w:p>
    <w:p w14:paraId="6D74B73A" w14:textId="4779E141" w:rsidR="00C87EB9" w:rsidRPr="00C87EB9" w:rsidRDefault="00C87EB9" w:rsidP="00C87EB9">
      <w:pPr>
        <w:pStyle w:val="NormalWeb"/>
        <w:spacing w:before="182" w:beforeAutospacing="0" w:after="0" w:afterAutospacing="0"/>
        <w:ind w:left="121" w:right="60"/>
        <w:jc w:val="both"/>
        <w:rPr>
          <w:sz w:val="22"/>
          <w:szCs w:val="22"/>
        </w:rPr>
      </w:pPr>
      <w:r w:rsidRPr="00C87EB9">
        <w:rPr>
          <w:color w:val="000000"/>
          <w:sz w:val="22"/>
          <w:szCs w:val="22"/>
        </w:rPr>
        <w:t>As part of the new changes to attendance, Brookfield Schools will be creating an Absence Intervention Team (AIT) for students who meet the above hours of absences. The Absence Intervention Team will put into place an absence intervention plan for the student. It will help to identify the nature of the student’s attendance problem; therefore, allowing recommendations from the parents, students and school personnel to improve the attendance problem. Action will then be taken by the parent/guardian and the student to resolve the causes of the absences. </w:t>
      </w:r>
    </w:p>
    <w:p w14:paraId="31A60D41" w14:textId="29C35847" w:rsidR="00C87EB9" w:rsidRPr="00C87EB9" w:rsidRDefault="00C87EB9" w:rsidP="00C87EB9">
      <w:pPr>
        <w:pStyle w:val="NormalWeb"/>
        <w:spacing w:before="160" w:beforeAutospacing="0" w:after="0" w:afterAutospacing="0"/>
        <w:ind w:left="119" w:right="59" w:hanging="8"/>
        <w:rPr>
          <w:sz w:val="22"/>
          <w:szCs w:val="22"/>
        </w:rPr>
      </w:pPr>
      <w:r w:rsidRPr="00C87EB9">
        <w:rPr>
          <w:color w:val="000000"/>
          <w:sz w:val="22"/>
          <w:szCs w:val="22"/>
        </w:rPr>
        <w:t>The attendance officer shall file a complaint in juvenile court on the 61</w:t>
      </w:r>
      <w:r w:rsidRPr="00C87EB9">
        <w:rPr>
          <w:color w:val="000000"/>
          <w:sz w:val="22"/>
          <w:szCs w:val="22"/>
          <w:vertAlign w:val="superscript"/>
        </w:rPr>
        <w:t xml:space="preserve">st </w:t>
      </w:r>
      <w:r w:rsidRPr="00C87EB9">
        <w:rPr>
          <w:color w:val="000000"/>
          <w:sz w:val="22"/>
          <w:szCs w:val="22"/>
        </w:rPr>
        <w:t>day after implementation of an absence intervention plan if all of the following apply: </w:t>
      </w:r>
    </w:p>
    <w:p w14:paraId="4A5740B8" w14:textId="461E5F9A" w:rsidR="00C87EB9" w:rsidRPr="00C87EB9" w:rsidRDefault="00C87EB9" w:rsidP="00C87EB9">
      <w:pPr>
        <w:pStyle w:val="NormalWeb"/>
        <w:spacing w:before="190" w:beforeAutospacing="0" w:after="0" w:afterAutospacing="0"/>
        <w:ind w:left="490" w:right="65" w:hanging="358"/>
        <w:rPr>
          <w:sz w:val="22"/>
          <w:szCs w:val="22"/>
        </w:rPr>
      </w:pPr>
      <w:r w:rsidRPr="00C87EB9">
        <w:rPr>
          <w:color w:val="000000"/>
          <w:sz w:val="22"/>
          <w:szCs w:val="22"/>
        </w:rPr>
        <w:t>∙ The student has unexcused absences of 30+ consecutive hours, 42+ hours in one month or 72+ hours in a school year. </w:t>
      </w:r>
    </w:p>
    <w:p w14:paraId="105A9EF9" w14:textId="16467F8C" w:rsidR="00C87EB9" w:rsidRPr="00C87EB9" w:rsidRDefault="00C87EB9" w:rsidP="00C87EB9">
      <w:pPr>
        <w:pStyle w:val="NormalWeb"/>
        <w:spacing w:before="20" w:beforeAutospacing="0" w:after="0" w:afterAutospacing="0"/>
        <w:ind w:left="490" w:right="59" w:hanging="365"/>
        <w:rPr>
          <w:sz w:val="22"/>
          <w:szCs w:val="22"/>
        </w:rPr>
      </w:pPr>
      <w:r w:rsidRPr="00C87EB9">
        <w:rPr>
          <w:color w:val="000000"/>
          <w:sz w:val="22"/>
          <w:szCs w:val="22"/>
        </w:rPr>
        <w:t>∙ The district has made meaningful attempts to re-engage the student through the absence intervention plan, or other intervention strategies, and alternative to adjudication; </w:t>
      </w:r>
    </w:p>
    <w:p w14:paraId="7F917EE9" w14:textId="2997E737" w:rsidR="00C87EB9" w:rsidRPr="00C87EB9" w:rsidRDefault="00C87EB9" w:rsidP="00C87EB9">
      <w:pPr>
        <w:pStyle w:val="NormalWeb"/>
        <w:spacing w:before="18" w:beforeAutospacing="0" w:after="0" w:afterAutospacing="0"/>
        <w:ind w:left="490" w:right="64" w:hanging="358"/>
        <w:rPr>
          <w:sz w:val="22"/>
          <w:szCs w:val="22"/>
        </w:rPr>
      </w:pPr>
      <w:r w:rsidRPr="00C87EB9">
        <w:rPr>
          <w:color w:val="000000"/>
          <w:sz w:val="22"/>
          <w:szCs w:val="22"/>
        </w:rPr>
        <w:t>∙ The student has refused to participate in or failed to make satisfactory progress on the plan, strategies or alternatives. </w:t>
      </w:r>
    </w:p>
    <w:p w14:paraId="0BBEA34A" w14:textId="169CFD7E" w:rsidR="00C87EB9" w:rsidRPr="00C87EB9" w:rsidRDefault="00C87EB9" w:rsidP="00C87EB9">
      <w:pPr>
        <w:pStyle w:val="NormalWeb"/>
        <w:spacing w:before="178" w:beforeAutospacing="0" w:after="0" w:afterAutospacing="0"/>
        <w:ind w:left="119" w:right="61" w:hanging="8"/>
        <w:jc w:val="both"/>
        <w:rPr>
          <w:sz w:val="22"/>
          <w:szCs w:val="22"/>
        </w:rPr>
      </w:pPr>
      <w:r w:rsidRPr="00C87EB9">
        <w:rPr>
          <w:color w:val="000000"/>
          <w:sz w:val="22"/>
          <w:szCs w:val="22"/>
        </w:rPr>
        <w:t>The school district, working in conjunction with the juvenile court, has the duty to take measures to improve habitual absenteeism, truancy and tardiness. While specific responsibility for each action can be specified in procedures delineated by the administration, the following shall be used to create a graduated and consistent approach to dealing with excessive absenteeism. </w:t>
      </w:r>
    </w:p>
    <w:p w14:paraId="2B8AFE10" w14:textId="033E4EE8" w:rsidR="00C87EB9" w:rsidRPr="00C87EB9" w:rsidRDefault="00C87EB9" w:rsidP="00C87EB9">
      <w:pPr>
        <w:pStyle w:val="NormalWeb"/>
        <w:spacing w:before="178" w:beforeAutospacing="0" w:after="0" w:afterAutospacing="0"/>
        <w:ind w:left="122" w:right="59" w:firstLine="2"/>
        <w:jc w:val="both"/>
        <w:rPr>
          <w:sz w:val="22"/>
          <w:szCs w:val="22"/>
        </w:rPr>
      </w:pPr>
      <w:r w:rsidRPr="00C87EB9">
        <w:rPr>
          <w:b/>
          <w:bCs/>
          <w:i/>
          <w:iCs/>
          <w:color w:val="000000"/>
          <w:sz w:val="22"/>
          <w:szCs w:val="22"/>
          <w:u w:val="single"/>
        </w:rPr>
        <w:t>Excessive Absence</w:t>
      </w:r>
      <w:r w:rsidRPr="00C87EB9">
        <w:rPr>
          <w:b/>
          <w:bCs/>
          <w:i/>
          <w:iCs/>
          <w:color w:val="000000"/>
          <w:sz w:val="22"/>
          <w:szCs w:val="22"/>
        </w:rPr>
        <w:t>: Ohio’s Senate Bill 410 deals specifically with truancy and the missing of school. There is one classification of this bill and it is “Habitual Truant”. If the student is truant for 30 or more consecutive hours in a week, 42 or more hours in a month, or 72 or more hours in a year without legitimate excuse, as defined below, the child meets the legal definition of a “habitual truant”. This is considered an unruly offense by the juvenile court. The parent should be notified of a student’s absences with or without excuse if it exceeds 38 or more hours in a month or 65 or more hours in a year. </w:t>
      </w:r>
    </w:p>
    <w:tbl>
      <w:tblPr>
        <w:tblW w:w="0" w:type="auto"/>
        <w:tblCellMar>
          <w:top w:w="15" w:type="dxa"/>
          <w:left w:w="15" w:type="dxa"/>
          <w:bottom w:w="15" w:type="dxa"/>
          <w:right w:w="15" w:type="dxa"/>
        </w:tblCellMar>
        <w:tblLook w:val="04A0" w:firstRow="1" w:lastRow="0" w:firstColumn="1" w:lastColumn="0" w:noHBand="0" w:noVBand="1"/>
      </w:tblPr>
      <w:tblGrid>
        <w:gridCol w:w="9974"/>
      </w:tblGrid>
      <w:tr w:rsidR="00C87EB9" w:rsidRPr="00C87EB9" w14:paraId="018356EC" w14:textId="77777777" w:rsidTr="00C87EB9">
        <w:trPr>
          <w:trHeight w:val="3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17DCA" w14:textId="77777777" w:rsidR="00C87EB9" w:rsidRPr="00C87EB9" w:rsidRDefault="00C87EB9">
            <w:pPr>
              <w:pStyle w:val="NormalWeb"/>
              <w:spacing w:before="0" w:beforeAutospacing="0" w:after="0" w:afterAutospacing="0"/>
              <w:jc w:val="center"/>
              <w:rPr>
                <w:sz w:val="22"/>
                <w:szCs w:val="22"/>
              </w:rPr>
            </w:pPr>
            <w:r w:rsidRPr="00C87EB9">
              <w:rPr>
                <w:color w:val="000000"/>
                <w:sz w:val="22"/>
                <w:szCs w:val="22"/>
              </w:rPr>
              <w:t>A LETTER OF NOTIFICATION OF EXCESSIVE UNEXCUSED ABSENCES WILL BE MAILED TO THE PARENTS.</w:t>
            </w:r>
          </w:p>
        </w:tc>
      </w:tr>
    </w:tbl>
    <w:p w14:paraId="70376A92" w14:textId="0865D76D" w:rsidR="00C87EB9" w:rsidRPr="00C87EB9" w:rsidRDefault="00C87EB9" w:rsidP="00C87EB9">
      <w:pPr>
        <w:pStyle w:val="NormalWeb"/>
        <w:spacing w:before="0" w:beforeAutospacing="0" w:after="0" w:afterAutospacing="0"/>
        <w:ind w:right="66"/>
        <w:rPr>
          <w:sz w:val="22"/>
          <w:szCs w:val="22"/>
        </w:rPr>
      </w:pPr>
      <w:r w:rsidRPr="00C87EB9">
        <w:rPr>
          <w:color w:val="000000"/>
          <w:sz w:val="22"/>
          <w:szCs w:val="22"/>
        </w:rPr>
        <w:t>RETENTION OF TRUANTS: Any student who is absent without legitimate excuse (medical) for more than ten percent (10%) of the required attendance hours may be denied course credit.</w:t>
      </w:r>
    </w:p>
    <w:p w14:paraId="662C71DA" w14:textId="3D6C64D3" w:rsidR="000D0574" w:rsidRPr="00C87EB9" w:rsidRDefault="00C87EB9" w:rsidP="00C87EB9">
      <w:pPr>
        <w:pStyle w:val="NormalWeb"/>
        <w:spacing w:before="290" w:beforeAutospacing="0" w:after="0" w:afterAutospacing="0"/>
        <w:jc w:val="center"/>
        <w:rPr>
          <w:sz w:val="22"/>
          <w:szCs w:val="22"/>
        </w:rPr>
      </w:pPr>
      <w:r w:rsidRPr="00C87EB9">
        <w:rPr>
          <w:color w:val="000000"/>
          <w:sz w:val="22"/>
          <w:szCs w:val="22"/>
        </w:rPr>
        <w:t xml:space="preserve"> </w:t>
      </w:r>
      <w:r w:rsidRPr="00C87EB9">
        <w:rPr>
          <w:i/>
          <w:iCs/>
          <w:color w:val="000000"/>
          <w:sz w:val="22"/>
          <w:szCs w:val="22"/>
        </w:rPr>
        <w:t>“Brookfield Local Schools is a Title One District.” </w:t>
      </w:r>
    </w:p>
    <w:sectPr w:rsidR="000D0574" w:rsidRPr="00C87EB9" w:rsidSect="003102B6">
      <w:headerReference w:type="even" r:id="rId7"/>
      <w:headerReference w:type="default" r:id="rId8"/>
      <w:footerReference w:type="even" r:id="rId9"/>
      <w:footerReference w:type="default" r:id="rId10"/>
      <w:headerReference w:type="first" r:id="rId11"/>
      <w:footerReference w:type="first" r:id="rId12"/>
      <w:pgSz w:w="12240" w:h="15840"/>
      <w:pgMar w:top="2376" w:right="1123" w:bottom="288" w:left="1123" w:header="36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95B5" w14:textId="77777777" w:rsidR="00AA363A" w:rsidRDefault="00AA363A" w:rsidP="00365828">
      <w:r>
        <w:separator/>
      </w:r>
    </w:p>
  </w:endnote>
  <w:endnote w:type="continuationSeparator" w:id="0">
    <w:p w14:paraId="064000BC" w14:textId="77777777" w:rsidR="00AA363A" w:rsidRDefault="00AA363A" w:rsidP="0036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lairMdITC TT-Medium">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1BBB" w14:textId="77777777" w:rsidR="00FF59E4" w:rsidRDefault="00FF5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A0FA" w14:textId="77777777" w:rsidR="00365828" w:rsidRPr="00365828" w:rsidRDefault="007A6DFC" w:rsidP="00365828">
    <w:pPr>
      <w:pStyle w:val="Footer"/>
      <w:jc w:val="center"/>
      <w:rPr>
        <w:rFonts w:asciiTheme="minorHAnsi" w:hAnsiTheme="minorHAnsi"/>
        <w:i/>
      </w:rPr>
    </w:pPr>
    <w:r>
      <w:rPr>
        <w:rFonts w:asciiTheme="minorHAnsi" w:hAnsiTheme="minorHAnsi"/>
        <w:i/>
      </w:rPr>
      <w:t>“</w:t>
    </w:r>
    <w:r w:rsidR="00FF59E4">
      <w:rPr>
        <w:rFonts w:asciiTheme="minorHAnsi" w:hAnsiTheme="minorHAnsi"/>
        <w:i/>
      </w:rPr>
      <w:t>Once a Warrior, Always a Warrior!”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CCEA" w14:textId="77777777" w:rsidR="00FF59E4" w:rsidRDefault="00FF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A43E" w14:textId="77777777" w:rsidR="00AA363A" w:rsidRDefault="00AA363A" w:rsidP="00365828">
      <w:r>
        <w:separator/>
      </w:r>
    </w:p>
  </w:footnote>
  <w:footnote w:type="continuationSeparator" w:id="0">
    <w:p w14:paraId="3D7D5E5F" w14:textId="77777777" w:rsidR="00AA363A" w:rsidRDefault="00AA363A" w:rsidP="0036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ED9" w14:textId="77777777" w:rsidR="00FF59E4" w:rsidRDefault="00FF5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0F64" w14:textId="77777777" w:rsidR="00C8303E" w:rsidRPr="00BE7C03" w:rsidRDefault="00C8303E" w:rsidP="00C8303E">
    <w:pPr>
      <w:jc w:val="center"/>
      <w:outlineLvl w:val="0"/>
      <w:rPr>
        <w:rFonts w:asciiTheme="minorHAnsi" w:hAnsiTheme="minorHAnsi"/>
        <w:sz w:val="48"/>
        <w:szCs w:val="48"/>
      </w:rPr>
    </w:pPr>
    <w:r w:rsidRPr="00BE7C03">
      <w:rPr>
        <w:rFonts w:asciiTheme="minorHAnsi" w:hAnsiTheme="minorHAnsi"/>
        <w:sz w:val="48"/>
        <w:szCs w:val="48"/>
      </w:rPr>
      <w:t>Brookfield Local School</w:t>
    </w:r>
    <w:r w:rsidR="0038549A">
      <w:rPr>
        <w:rFonts w:asciiTheme="minorHAnsi" w:hAnsiTheme="minorHAnsi"/>
        <w:sz w:val="48"/>
        <w:szCs w:val="48"/>
      </w:rPr>
      <w:t xml:space="preserve"> District</w:t>
    </w:r>
  </w:p>
  <w:p w14:paraId="35B73CA8" w14:textId="77777777" w:rsidR="00C8303E" w:rsidRPr="00BE7C03" w:rsidRDefault="00C8303E" w:rsidP="00C8303E">
    <w:pPr>
      <w:jc w:val="center"/>
      <w:rPr>
        <w:rFonts w:asciiTheme="minorHAnsi" w:hAnsiTheme="minorHAnsi" w:cs="Tahoma"/>
        <w:sz w:val="8"/>
        <w:szCs w:val="8"/>
      </w:rPr>
    </w:pPr>
  </w:p>
  <w:p w14:paraId="519EBDE4" w14:textId="77777777" w:rsidR="00C8303E" w:rsidRPr="00BE7C03" w:rsidRDefault="00C8303E" w:rsidP="003C2D26">
    <w:pPr>
      <w:jc w:val="center"/>
      <w:rPr>
        <w:rFonts w:asciiTheme="minorHAnsi" w:hAnsiTheme="minorHAnsi" w:cs="Tahoma"/>
        <w:sz w:val="18"/>
        <w:szCs w:val="18"/>
      </w:rPr>
    </w:pPr>
    <w:r w:rsidRPr="00BE7C03">
      <w:rPr>
        <w:rFonts w:asciiTheme="minorHAnsi" w:hAnsiTheme="minorHAnsi" w:cs="Tahoma"/>
        <w:sz w:val="18"/>
        <w:szCs w:val="18"/>
      </w:rPr>
      <w:t>614 Bedford Road SE</w:t>
    </w:r>
    <w:r w:rsidR="0038549A">
      <w:rPr>
        <w:rFonts w:asciiTheme="minorHAnsi" w:hAnsiTheme="minorHAnsi" w:cs="Tahoma"/>
        <w:sz w:val="18"/>
        <w:szCs w:val="18"/>
      </w:rPr>
      <w:t xml:space="preserve">, </w:t>
    </w:r>
    <w:r w:rsidRPr="00BE7C03">
      <w:rPr>
        <w:rFonts w:asciiTheme="minorHAnsi" w:hAnsiTheme="minorHAnsi" w:cs="Tahoma"/>
        <w:sz w:val="18"/>
        <w:szCs w:val="18"/>
      </w:rPr>
      <w:t>Brookfield, Ohio  44403</w:t>
    </w:r>
  </w:p>
  <w:p w14:paraId="51E7AAE5" w14:textId="77777777" w:rsidR="00CB4F1A" w:rsidRDefault="00CB4F1A" w:rsidP="003C2D26">
    <w:pPr>
      <w:jc w:val="center"/>
      <w:outlineLvl w:val="0"/>
      <w:rPr>
        <w:rFonts w:asciiTheme="minorHAnsi" w:hAnsiTheme="minorHAnsi" w:cs="Tahoma"/>
        <w:sz w:val="18"/>
        <w:szCs w:val="18"/>
      </w:rPr>
    </w:pPr>
    <w:r>
      <w:rPr>
        <w:rFonts w:asciiTheme="minorHAnsi" w:hAnsiTheme="minorHAnsi" w:cs="Tahoma"/>
        <w:sz w:val="18"/>
        <w:szCs w:val="18"/>
      </w:rPr>
      <w:t>Superintendent’s Office Phone</w:t>
    </w:r>
    <w:r w:rsidR="00C8303E" w:rsidRPr="00BE7C03">
      <w:rPr>
        <w:rFonts w:asciiTheme="minorHAnsi" w:hAnsiTheme="minorHAnsi" w:cs="Tahoma"/>
        <w:sz w:val="18"/>
        <w:szCs w:val="18"/>
      </w:rPr>
      <w:t xml:space="preserve">: </w:t>
    </w:r>
    <w:r>
      <w:rPr>
        <w:rFonts w:asciiTheme="minorHAnsi" w:hAnsiTheme="minorHAnsi" w:cs="Tahoma"/>
        <w:sz w:val="18"/>
        <w:szCs w:val="18"/>
      </w:rPr>
      <w:t xml:space="preserve"> </w:t>
    </w:r>
    <w:r w:rsidR="00C8303E" w:rsidRPr="00BE7C03">
      <w:rPr>
        <w:rFonts w:asciiTheme="minorHAnsi" w:hAnsiTheme="minorHAnsi" w:cs="Tahoma"/>
        <w:sz w:val="18"/>
        <w:szCs w:val="18"/>
      </w:rPr>
      <w:t>330</w:t>
    </w:r>
    <w:r w:rsidR="00D35BB4">
      <w:rPr>
        <w:rFonts w:asciiTheme="minorHAnsi" w:hAnsiTheme="minorHAnsi" w:cs="Tahoma"/>
        <w:sz w:val="18"/>
        <w:szCs w:val="18"/>
      </w:rPr>
      <w:t>-448-</w:t>
    </w:r>
    <w:r w:rsidR="0038549A">
      <w:rPr>
        <w:rFonts w:asciiTheme="minorHAnsi" w:hAnsiTheme="minorHAnsi" w:cs="Tahoma"/>
        <w:sz w:val="18"/>
        <w:szCs w:val="18"/>
      </w:rPr>
      <w:t>4930</w:t>
    </w:r>
  </w:p>
  <w:p w14:paraId="3F93EF94" w14:textId="77777777" w:rsidR="00C8303E" w:rsidRPr="00BE7C03" w:rsidRDefault="00D35BB4" w:rsidP="003C2D26">
    <w:pPr>
      <w:jc w:val="center"/>
      <w:outlineLvl w:val="0"/>
      <w:rPr>
        <w:rFonts w:asciiTheme="minorHAnsi" w:hAnsiTheme="minorHAnsi" w:cs="Tahoma"/>
        <w:sz w:val="18"/>
        <w:szCs w:val="18"/>
      </w:rPr>
    </w:pPr>
    <w:r>
      <w:rPr>
        <w:rFonts w:asciiTheme="minorHAnsi" w:hAnsiTheme="minorHAnsi" w:cs="Tahoma"/>
        <w:sz w:val="18"/>
        <w:szCs w:val="18"/>
      </w:rPr>
      <w:t>Treasurer’s Office Phone:  330-448-</w:t>
    </w:r>
    <w:r w:rsidR="00CB4F1A">
      <w:rPr>
        <w:rFonts w:asciiTheme="minorHAnsi" w:hAnsiTheme="minorHAnsi" w:cs="Tahoma"/>
        <w:sz w:val="18"/>
        <w:szCs w:val="18"/>
      </w:rPr>
      <w:t>3000</w:t>
    </w:r>
  </w:p>
  <w:p w14:paraId="295AD92F" w14:textId="77777777" w:rsidR="00C8303E" w:rsidRPr="00BE7C03" w:rsidRDefault="00C8303E" w:rsidP="003C2D26">
    <w:pPr>
      <w:jc w:val="center"/>
      <w:outlineLvl w:val="0"/>
      <w:rPr>
        <w:rFonts w:asciiTheme="minorHAnsi" w:hAnsiTheme="minorHAnsi" w:cs="Tahoma"/>
        <w:sz w:val="18"/>
        <w:szCs w:val="18"/>
      </w:rPr>
    </w:pPr>
    <w:r w:rsidRPr="00BE7C03">
      <w:rPr>
        <w:rFonts w:asciiTheme="minorHAnsi" w:hAnsiTheme="minorHAnsi" w:cs="Tahoma"/>
        <w:sz w:val="18"/>
        <w:szCs w:val="18"/>
      </w:rPr>
      <w:t>Fax</w:t>
    </w:r>
    <w:r w:rsidR="00CB4F1A">
      <w:rPr>
        <w:rFonts w:asciiTheme="minorHAnsi" w:hAnsiTheme="minorHAnsi" w:cs="Tahoma"/>
        <w:sz w:val="18"/>
        <w:szCs w:val="18"/>
      </w:rPr>
      <w:t xml:space="preserve"> Number</w:t>
    </w:r>
    <w:r w:rsidRPr="00BE7C03">
      <w:rPr>
        <w:rFonts w:asciiTheme="minorHAnsi" w:hAnsiTheme="minorHAnsi" w:cs="Tahoma"/>
        <w:sz w:val="18"/>
        <w:szCs w:val="18"/>
      </w:rPr>
      <w:t>:</w:t>
    </w:r>
    <w:r w:rsidR="0038549A">
      <w:rPr>
        <w:rFonts w:asciiTheme="minorHAnsi" w:hAnsiTheme="minorHAnsi" w:cs="Tahoma"/>
        <w:sz w:val="18"/>
        <w:szCs w:val="18"/>
      </w:rPr>
      <w:t xml:space="preserve"> </w:t>
    </w:r>
    <w:r w:rsidR="00CB4F1A">
      <w:rPr>
        <w:rFonts w:asciiTheme="minorHAnsi" w:hAnsiTheme="minorHAnsi" w:cs="Tahoma"/>
        <w:sz w:val="18"/>
        <w:szCs w:val="18"/>
      </w:rPr>
      <w:t xml:space="preserve"> </w:t>
    </w:r>
    <w:r w:rsidR="00D35BB4">
      <w:rPr>
        <w:rFonts w:asciiTheme="minorHAnsi" w:hAnsiTheme="minorHAnsi" w:cs="Tahoma"/>
        <w:sz w:val="18"/>
        <w:szCs w:val="18"/>
      </w:rPr>
      <w:t>330-448-</w:t>
    </w:r>
    <w:r w:rsidR="0038549A">
      <w:rPr>
        <w:rFonts w:asciiTheme="minorHAnsi" w:hAnsiTheme="minorHAnsi" w:cs="Tahoma"/>
        <w:sz w:val="18"/>
        <w:szCs w:val="18"/>
      </w:rPr>
      <w:t>5026</w:t>
    </w:r>
  </w:p>
  <w:p w14:paraId="1D4AA071" w14:textId="77777777" w:rsidR="00C8303E" w:rsidRPr="00E07C66" w:rsidRDefault="000D0574" w:rsidP="00C8303E">
    <w:pPr>
      <w:jc w:val="center"/>
      <w:rPr>
        <w:rFonts w:ascii="Bookman Old Style" w:hAnsi="Bookman Old Style" w:cs="Tahoma"/>
        <w:sz w:val="18"/>
        <w:szCs w:val="18"/>
      </w:rPr>
    </w:pPr>
    <w:r>
      <w:rPr>
        <w:rFonts w:asciiTheme="minorHAnsi" w:hAnsiTheme="minorHAnsi" w:cs="Tahoma"/>
        <w:noProof/>
        <w:sz w:val="18"/>
        <w:szCs w:val="18"/>
      </w:rPr>
      <w:drawing>
        <wp:anchor distT="0" distB="0" distL="114300" distR="114300" simplePos="0" relativeHeight="251658240" behindDoc="1" locked="0" layoutInCell="1" allowOverlap="1" wp14:anchorId="0B77520B" wp14:editId="7B93172E">
          <wp:simplePos x="0" y="0"/>
          <wp:positionH relativeFrom="column">
            <wp:posOffset>2868295</wp:posOffset>
          </wp:positionH>
          <wp:positionV relativeFrom="paragraph">
            <wp:posOffset>45720</wp:posOffset>
          </wp:positionV>
          <wp:extent cx="1004570" cy="100139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ELD Logo 2.PNG"/>
                  <pic:cNvPicPr/>
                </pic:nvPicPr>
                <pic:blipFill>
                  <a:blip r:embed="rId1">
                    <a:extLst>
                      <a:ext uri="{28A0092B-C50C-407E-A947-70E740481C1C}">
                        <a14:useLocalDpi xmlns:a14="http://schemas.microsoft.com/office/drawing/2010/main" val="0"/>
                      </a:ext>
                    </a:extLst>
                  </a:blip>
                  <a:stretch>
                    <a:fillRect/>
                  </a:stretch>
                </pic:blipFill>
                <pic:spPr>
                  <a:xfrm>
                    <a:off x="0" y="0"/>
                    <a:ext cx="1004570" cy="1001395"/>
                  </a:xfrm>
                  <a:prstGeom prst="rect">
                    <a:avLst/>
                  </a:prstGeom>
                </pic:spPr>
              </pic:pic>
            </a:graphicData>
          </a:graphic>
          <wp14:sizeRelH relativeFrom="page">
            <wp14:pctWidth>0</wp14:pctWidth>
          </wp14:sizeRelH>
          <wp14:sizeRelV relativeFrom="page">
            <wp14:pctHeight>0</wp14:pctHeight>
          </wp14:sizeRelV>
        </wp:anchor>
      </w:drawing>
    </w:r>
  </w:p>
  <w:p w14:paraId="52F9C3A6" w14:textId="77777777" w:rsidR="00C8303E" w:rsidRPr="0038549A" w:rsidRDefault="00C8303E" w:rsidP="00C8303E">
    <w:pPr>
      <w:rPr>
        <w:rFonts w:asciiTheme="minorHAnsi" w:hAnsiTheme="minorHAnsi" w:cs="Tahoma"/>
        <w:sz w:val="18"/>
        <w:szCs w:val="18"/>
      </w:rPr>
    </w:pPr>
    <w:r w:rsidRPr="0038549A">
      <w:rPr>
        <w:rFonts w:asciiTheme="minorHAnsi" w:hAnsiTheme="minorHAnsi" w:cs="Tahoma"/>
        <w:sz w:val="18"/>
        <w:szCs w:val="18"/>
      </w:rPr>
      <w:t>Superintendent</w:t>
    </w:r>
    <w:r w:rsidRPr="0038549A">
      <w:rPr>
        <w:rFonts w:asciiTheme="minorHAnsi" w:hAnsiTheme="minorHAnsi" w:cs="Tahoma"/>
        <w:sz w:val="18"/>
        <w:szCs w:val="18"/>
      </w:rPr>
      <w:tab/>
    </w:r>
    <w:r w:rsidRPr="0038549A">
      <w:rPr>
        <w:rFonts w:asciiTheme="minorHAnsi" w:hAnsiTheme="minorHAnsi" w:cs="Tahoma"/>
        <w:sz w:val="18"/>
        <w:szCs w:val="18"/>
      </w:rPr>
      <w:tab/>
    </w:r>
    <w:r w:rsidRPr="0038549A">
      <w:rPr>
        <w:rFonts w:asciiTheme="minorHAnsi" w:hAnsiTheme="minorHAnsi" w:cs="Tahoma"/>
        <w:sz w:val="18"/>
        <w:szCs w:val="18"/>
      </w:rPr>
      <w:tab/>
    </w:r>
    <w:r w:rsidRPr="0038549A">
      <w:rPr>
        <w:rFonts w:asciiTheme="minorHAnsi" w:hAnsiTheme="minorHAnsi" w:cs="Tahoma"/>
        <w:sz w:val="18"/>
        <w:szCs w:val="18"/>
      </w:rPr>
      <w:tab/>
    </w:r>
    <w:r w:rsidRPr="0038549A">
      <w:rPr>
        <w:rFonts w:asciiTheme="minorHAnsi" w:hAnsiTheme="minorHAnsi" w:cs="Tahoma"/>
        <w:sz w:val="18"/>
        <w:szCs w:val="18"/>
      </w:rPr>
      <w:tab/>
    </w:r>
    <w:r w:rsidRPr="0038549A">
      <w:rPr>
        <w:rFonts w:asciiTheme="minorHAnsi" w:hAnsiTheme="minorHAnsi" w:cs="Tahoma"/>
        <w:sz w:val="18"/>
        <w:szCs w:val="18"/>
      </w:rPr>
      <w:tab/>
    </w:r>
    <w:r w:rsidRPr="0038549A">
      <w:rPr>
        <w:rFonts w:asciiTheme="minorHAnsi" w:hAnsiTheme="minorHAnsi" w:cs="Tahoma"/>
        <w:sz w:val="18"/>
        <w:szCs w:val="18"/>
      </w:rPr>
      <w:tab/>
      <w:t xml:space="preserve">  </w:t>
    </w:r>
    <w:r w:rsidRPr="0038549A">
      <w:rPr>
        <w:rFonts w:asciiTheme="minorHAnsi" w:hAnsiTheme="minorHAnsi" w:cs="Tahoma"/>
        <w:sz w:val="18"/>
        <w:szCs w:val="18"/>
      </w:rPr>
      <w:tab/>
      <w:t xml:space="preserve"> </w:t>
    </w:r>
    <w:r w:rsidRPr="0038549A">
      <w:rPr>
        <w:rFonts w:asciiTheme="minorHAnsi" w:hAnsiTheme="minorHAnsi" w:cs="Tahoma"/>
        <w:sz w:val="18"/>
        <w:szCs w:val="18"/>
      </w:rPr>
      <w:tab/>
      <w:t xml:space="preserve">   </w:t>
    </w:r>
    <w:r w:rsidR="0038549A">
      <w:rPr>
        <w:rFonts w:asciiTheme="minorHAnsi" w:hAnsiTheme="minorHAnsi" w:cs="Tahoma"/>
        <w:sz w:val="18"/>
        <w:szCs w:val="18"/>
      </w:rPr>
      <w:t xml:space="preserve">      </w:t>
    </w:r>
    <w:r w:rsidR="003102B6">
      <w:rPr>
        <w:rFonts w:asciiTheme="minorHAnsi" w:hAnsiTheme="minorHAnsi" w:cs="Tahoma"/>
        <w:sz w:val="18"/>
        <w:szCs w:val="18"/>
      </w:rPr>
      <w:t xml:space="preserve"> </w:t>
    </w:r>
    <w:r w:rsidR="0038549A">
      <w:rPr>
        <w:rFonts w:asciiTheme="minorHAnsi" w:hAnsiTheme="minorHAnsi" w:cs="Tahoma"/>
        <w:sz w:val="18"/>
        <w:szCs w:val="18"/>
      </w:rPr>
      <w:t xml:space="preserve">           </w:t>
    </w:r>
    <w:r w:rsidRPr="0038549A">
      <w:rPr>
        <w:rFonts w:asciiTheme="minorHAnsi" w:hAnsiTheme="minorHAnsi" w:cs="Tahoma"/>
        <w:sz w:val="18"/>
        <w:szCs w:val="18"/>
      </w:rPr>
      <w:t xml:space="preserve"> </w:t>
    </w:r>
    <w:r w:rsidR="0038549A">
      <w:rPr>
        <w:rFonts w:asciiTheme="minorHAnsi" w:hAnsiTheme="minorHAnsi" w:cs="Tahoma"/>
        <w:sz w:val="18"/>
        <w:szCs w:val="18"/>
      </w:rPr>
      <w:t xml:space="preserve">  </w:t>
    </w:r>
    <w:r w:rsidR="00CB4F1A">
      <w:rPr>
        <w:rFonts w:asciiTheme="minorHAnsi" w:hAnsiTheme="minorHAnsi" w:cs="Tahoma"/>
        <w:sz w:val="18"/>
        <w:szCs w:val="18"/>
      </w:rPr>
      <w:t xml:space="preserve">       </w:t>
    </w:r>
    <w:r w:rsidRPr="0038549A">
      <w:rPr>
        <w:rFonts w:asciiTheme="minorHAnsi" w:hAnsiTheme="minorHAnsi" w:cs="Tahoma"/>
        <w:sz w:val="18"/>
        <w:szCs w:val="18"/>
      </w:rPr>
      <w:t xml:space="preserve"> </w:t>
    </w:r>
    <w:r w:rsidR="0021615D">
      <w:rPr>
        <w:rFonts w:asciiTheme="minorHAnsi" w:hAnsiTheme="minorHAnsi" w:cs="Tahoma"/>
        <w:sz w:val="18"/>
        <w:szCs w:val="18"/>
      </w:rPr>
      <w:t xml:space="preserve">                  </w:t>
    </w:r>
    <w:r w:rsidRPr="0038549A">
      <w:rPr>
        <w:rFonts w:asciiTheme="minorHAnsi" w:hAnsiTheme="minorHAnsi" w:cs="Tahoma"/>
        <w:sz w:val="18"/>
        <w:szCs w:val="18"/>
      </w:rPr>
      <w:t>Treasurer</w:t>
    </w:r>
  </w:p>
  <w:p w14:paraId="52D3A4C6" w14:textId="77777777" w:rsidR="00C8303E" w:rsidRPr="0038549A" w:rsidRDefault="006D48EF" w:rsidP="00C8303E">
    <w:pPr>
      <w:rPr>
        <w:rFonts w:asciiTheme="minorHAnsi" w:hAnsiTheme="minorHAnsi" w:cs="Tahoma"/>
        <w:sz w:val="18"/>
        <w:szCs w:val="18"/>
      </w:rPr>
    </w:pPr>
    <w:r>
      <w:rPr>
        <w:rFonts w:asciiTheme="minorHAnsi" w:hAnsiTheme="minorHAnsi" w:cs="Tahoma"/>
        <w:sz w:val="18"/>
        <w:szCs w:val="18"/>
      </w:rPr>
      <w:t>Toby Gibson</w:t>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C8303E" w:rsidRPr="0038549A">
      <w:rPr>
        <w:rFonts w:asciiTheme="minorHAnsi" w:hAnsiTheme="minorHAnsi" w:cs="Tahoma"/>
        <w:sz w:val="18"/>
        <w:szCs w:val="18"/>
      </w:rPr>
      <w:tab/>
    </w:r>
    <w:r w:rsidR="0038549A">
      <w:rPr>
        <w:rFonts w:asciiTheme="minorHAnsi" w:hAnsiTheme="minorHAnsi" w:cs="Tahoma"/>
        <w:sz w:val="18"/>
        <w:szCs w:val="18"/>
      </w:rPr>
      <w:t xml:space="preserve">                   </w:t>
    </w:r>
    <w:r w:rsidR="00CB4F1A">
      <w:rPr>
        <w:rFonts w:asciiTheme="minorHAnsi" w:hAnsiTheme="minorHAnsi" w:cs="Tahoma"/>
        <w:sz w:val="18"/>
        <w:szCs w:val="18"/>
      </w:rPr>
      <w:t xml:space="preserve">     </w:t>
    </w:r>
    <w:r w:rsidR="003102B6">
      <w:rPr>
        <w:rFonts w:asciiTheme="minorHAnsi" w:hAnsiTheme="minorHAnsi" w:cs="Tahoma"/>
        <w:sz w:val="18"/>
        <w:szCs w:val="18"/>
      </w:rPr>
      <w:t xml:space="preserve"> </w:t>
    </w:r>
    <w:r>
      <w:rPr>
        <w:rFonts w:asciiTheme="minorHAnsi" w:hAnsiTheme="minorHAnsi" w:cs="Tahoma"/>
        <w:sz w:val="18"/>
        <w:szCs w:val="18"/>
      </w:rPr>
      <w:t xml:space="preserve">      Julie Sloan</w:t>
    </w:r>
  </w:p>
  <w:p w14:paraId="1C65283B" w14:textId="77777777" w:rsidR="00C8303E" w:rsidRPr="0021615D" w:rsidRDefault="006D48EF" w:rsidP="00C8303E">
    <w:pPr>
      <w:rPr>
        <w:rFonts w:asciiTheme="minorHAnsi" w:hAnsiTheme="minorHAnsi" w:cs="Tahoma"/>
        <w:sz w:val="16"/>
        <w:szCs w:val="16"/>
      </w:rPr>
    </w:pPr>
    <w:r w:rsidRPr="006D48EF">
      <w:rPr>
        <w:rFonts w:asciiTheme="minorHAnsi" w:hAnsiTheme="minorHAnsi" w:cs="Tahoma"/>
        <w:sz w:val="16"/>
        <w:szCs w:val="16"/>
      </w:rPr>
      <w:t>toby.gibson@brookfieldschools.us</w:t>
    </w:r>
    <w:r w:rsidR="00CB4F1A" w:rsidRPr="0021615D">
      <w:rPr>
        <w:rFonts w:asciiTheme="minorHAnsi" w:hAnsiTheme="minorHAnsi" w:cs="Tahoma"/>
        <w:sz w:val="16"/>
        <w:szCs w:val="16"/>
      </w:rPr>
      <w:t xml:space="preserve">                                                                                    </w:t>
    </w:r>
    <w:r w:rsidR="0021615D">
      <w:rPr>
        <w:rFonts w:asciiTheme="minorHAnsi" w:hAnsiTheme="minorHAnsi" w:cs="Tahoma"/>
        <w:sz w:val="16"/>
        <w:szCs w:val="16"/>
      </w:rPr>
      <w:t xml:space="preserve">                                                                    </w:t>
    </w:r>
    <w:r>
      <w:rPr>
        <w:rFonts w:asciiTheme="minorHAnsi" w:hAnsiTheme="minorHAnsi" w:cs="Tahoma"/>
        <w:sz w:val="16"/>
        <w:szCs w:val="16"/>
      </w:rPr>
      <w:t xml:space="preserve"> </w:t>
    </w:r>
    <w:r w:rsidR="0021615D">
      <w:rPr>
        <w:rFonts w:asciiTheme="minorHAnsi" w:hAnsiTheme="minorHAnsi" w:cs="Tahoma"/>
        <w:sz w:val="16"/>
        <w:szCs w:val="16"/>
      </w:rPr>
      <w:t xml:space="preserve"> </w:t>
    </w:r>
    <w:r>
      <w:rPr>
        <w:rFonts w:asciiTheme="minorHAnsi" w:hAnsiTheme="minorHAnsi" w:cs="Tahoma"/>
        <w:sz w:val="16"/>
        <w:szCs w:val="16"/>
      </w:rPr>
      <w:t>julie.sloan@brookfieldschools.us</w:t>
    </w:r>
    <w:r w:rsidR="0021615D">
      <w:rPr>
        <w:rFonts w:asciiTheme="minorHAnsi" w:hAnsiTheme="minorHAnsi" w:cs="Tahoma"/>
        <w:sz w:val="16"/>
        <w:szCs w:val="16"/>
      </w:rPr>
      <w:t xml:space="preserve">                      </w:t>
    </w:r>
    <w:r>
      <w:rPr>
        <w:rFonts w:asciiTheme="minorHAnsi" w:hAnsiTheme="minorHAnsi" w:cs="Tahoma"/>
        <w:sz w:val="16"/>
        <w:szCs w:val="16"/>
      </w:rPr>
      <w:t xml:space="preserve">    </w:t>
    </w:r>
  </w:p>
  <w:p w14:paraId="6FC53347" w14:textId="77777777" w:rsidR="00C8303E" w:rsidRDefault="00C83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72AA" w14:textId="77777777" w:rsidR="00FF59E4" w:rsidRDefault="00FF5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25CB"/>
    <w:multiLevelType w:val="hybridMultilevel"/>
    <w:tmpl w:val="0AFA5C6C"/>
    <w:lvl w:ilvl="0" w:tplc="A782943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F67861"/>
    <w:multiLevelType w:val="hybridMultilevel"/>
    <w:tmpl w:val="FAC4D3BE"/>
    <w:lvl w:ilvl="0" w:tplc="8B6AEC26">
      <w:numFmt w:val="bullet"/>
      <w:lvlText w:val=""/>
      <w:lvlJc w:val="left"/>
      <w:pPr>
        <w:tabs>
          <w:tab w:val="num" w:pos="840"/>
        </w:tabs>
        <w:ind w:left="840" w:hanging="4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7E"/>
    <w:rsid w:val="00030335"/>
    <w:rsid w:val="00077059"/>
    <w:rsid w:val="000D0574"/>
    <w:rsid w:val="000D6624"/>
    <w:rsid w:val="00116853"/>
    <w:rsid w:val="001560A7"/>
    <w:rsid w:val="00163617"/>
    <w:rsid w:val="001B1B79"/>
    <w:rsid w:val="001B5C4D"/>
    <w:rsid w:val="001C211F"/>
    <w:rsid w:val="0021615D"/>
    <w:rsid w:val="00243C4B"/>
    <w:rsid w:val="002501A6"/>
    <w:rsid w:val="0025580B"/>
    <w:rsid w:val="00286688"/>
    <w:rsid w:val="002B663A"/>
    <w:rsid w:val="002F046E"/>
    <w:rsid w:val="003068B2"/>
    <w:rsid w:val="003102B6"/>
    <w:rsid w:val="003207CE"/>
    <w:rsid w:val="00346D97"/>
    <w:rsid w:val="00365828"/>
    <w:rsid w:val="00380E4C"/>
    <w:rsid w:val="0038549A"/>
    <w:rsid w:val="003A4DDF"/>
    <w:rsid w:val="003C2D26"/>
    <w:rsid w:val="003C2DAD"/>
    <w:rsid w:val="00400119"/>
    <w:rsid w:val="00421FA8"/>
    <w:rsid w:val="00426814"/>
    <w:rsid w:val="004303AB"/>
    <w:rsid w:val="00443D2C"/>
    <w:rsid w:val="0045241E"/>
    <w:rsid w:val="004669CE"/>
    <w:rsid w:val="004E438C"/>
    <w:rsid w:val="00514E84"/>
    <w:rsid w:val="0056492D"/>
    <w:rsid w:val="005663C9"/>
    <w:rsid w:val="005A70A1"/>
    <w:rsid w:val="005B35B9"/>
    <w:rsid w:val="005B4F2F"/>
    <w:rsid w:val="005C2686"/>
    <w:rsid w:val="005C3868"/>
    <w:rsid w:val="005D6091"/>
    <w:rsid w:val="005D7338"/>
    <w:rsid w:val="005F4E2A"/>
    <w:rsid w:val="005F704D"/>
    <w:rsid w:val="00612F28"/>
    <w:rsid w:val="006C4CBC"/>
    <w:rsid w:val="006D48EF"/>
    <w:rsid w:val="00712D8D"/>
    <w:rsid w:val="0071318E"/>
    <w:rsid w:val="00740AFC"/>
    <w:rsid w:val="0074609D"/>
    <w:rsid w:val="00751B4E"/>
    <w:rsid w:val="0075753E"/>
    <w:rsid w:val="007713AB"/>
    <w:rsid w:val="00774F58"/>
    <w:rsid w:val="0079430D"/>
    <w:rsid w:val="007A2104"/>
    <w:rsid w:val="007A5F4D"/>
    <w:rsid w:val="007A6DFC"/>
    <w:rsid w:val="007D6AFB"/>
    <w:rsid w:val="007D6F57"/>
    <w:rsid w:val="007F3FB2"/>
    <w:rsid w:val="00812A58"/>
    <w:rsid w:val="008131ED"/>
    <w:rsid w:val="00870E25"/>
    <w:rsid w:val="00897510"/>
    <w:rsid w:val="008D1C84"/>
    <w:rsid w:val="009419E9"/>
    <w:rsid w:val="00946DAF"/>
    <w:rsid w:val="009559DA"/>
    <w:rsid w:val="00965FD3"/>
    <w:rsid w:val="0099315C"/>
    <w:rsid w:val="0099789D"/>
    <w:rsid w:val="009B7455"/>
    <w:rsid w:val="00A01518"/>
    <w:rsid w:val="00A20C73"/>
    <w:rsid w:val="00A65DC9"/>
    <w:rsid w:val="00AA363A"/>
    <w:rsid w:val="00AA757A"/>
    <w:rsid w:val="00AB354F"/>
    <w:rsid w:val="00AB4D85"/>
    <w:rsid w:val="00AB6390"/>
    <w:rsid w:val="00AB7178"/>
    <w:rsid w:val="00AC6E49"/>
    <w:rsid w:val="00AD143A"/>
    <w:rsid w:val="00AF387E"/>
    <w:rsid w:val="00B5422D"/>
    <w:rsid w:val="00B66FA1"/>
    <w:rsid w:val="00B9464B"/>
    <w:rsid w:val="00BA4691"/>
    <w:rsid w:val="00BB4DC3"/>
    <w:rsid w:val="00BE7C03"/>
    <w:rsid w:val="00C0172D"/>
    <w:rsid w:val="00C16EA4"/>
    <w:rsid w:val="00C17D4D"/>
    <w:rsid w:val="00C43B8B"/>
    <w:rsid w:val="00C82D62"/>
    <w:rsid w:val="00C8303E"/>
    <w:rsid w:val="00C8758A"/>
    <w:rsid w:val="00C87EB9"/>
    <w:rsid w:val="00C97745"/>
    <w:rsid w:val="00CB4F1A"/>
    <w:rsid w:val="00CF1475"/>
    <w:rsid w:val="00D35BB4"/>
    <w:rsid w:val="00D35E6E"/>
    <w:rsid w:val="00D63D01"/>
    <w:rsid w:val="00D8646E"/>
    <w:rsid w:val="00D879A5"/>
    <w:rsid w:val="00DD6BD7"/>
    <w:rsid w:val="00E06AFB"/>
    <w:rsid w:val="00E07C66"/>
    <w:rsid w:val="00E10221"/>
    <w:rsid w:val="00E26BB2"/>
    <w:rsid w:val="00E57562"/>
    <w:rsid w:val="00E70D52"/>
    <w:rsid w:val="00ED0C79"/>
    <w:rsid w:val="00F04135"/>
    <w:rsid w:val="00F05BF2"/>
    <w:rsid w:val="00F0676C"/>
    <w:rsid w:val="00F237F1"/>
    <w:rsid w:val="00F36739"/>
    <w:rsid w:val="00F517B4"/>
    <w:rsid w:val="00F922C2"/>
    <w:rsid w:val="00FD1BB4"/>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6E5F6"/>
  <w15:docId w15:val="{C01E8F41-D566-480E-BE14-BE6B9D7D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4F58"/>
    <w:rPr>
      <w:rFonts w:ascii="Tahoma" w:hAnsi="Tahoma" w:cs="Tahoma"/>
      <w:sz w:val="16"/>
      <w:szCs w:val="16"/>
    </w:rPr>
  </w:style>
  <w:style w:type="paragraph" w:styleId="DocumentMap">
    <w:name w:val="Document Map"/>
    <w:basedOn w:val="Normal"/>
    <w:link w:val="DocumentMapChar"/>
    <w:uiPriority w:val="99"/>
    <w:semiHidden/>
    <w:unhideWhenUsed/>
    <w:rsid w:val="00E07C66"/>
    <w:rPr>
      <w:rFonts w:ascii="Tahoma" w:hAnsi="Tahoma" w:cs="Tahoma"/>
      <w:sz w:val="16"/>
      <w:szCs w:val="16"/>
    </w:rPr>
  </w:style>
  <w:style w:type="character" w:customStyle="1" w:styleId="DocumentMapChar">
    <w:name w:val="Document Map Char"/>
    <w:link w:val="DocumentMap"/>
    <w:uiPriority w:val="99"/>
    <w:semiHidden/>
    <w:rsid w:val="00E07C66"/>
    <w:rPr>
      <w:rFonts w:ascii="Tahoma" w:hAnsi="Tahoma" w:cs="Tahoma"/>
      <w:sz w:val="16"/>
      <w:szCs w:val="16"/>
    </w:rPr>
  </w:style>
  <w:style w:type="paragraph" w:styleId="Date">
    <w:name w:val="Date"/>
    <w:basedOn w:val="Normal"/>
    <w:next w:val="Normal"/>
    <w:rsid w:val="00D8646E"/>
  </w:style>
  <w:style w:type="paragraph" w:styleId="Header">
    <w:name w:val="header"/>
    <w:basedOn w:val="Normal"/>
    <w:link w:val="HeaderChar"/>
    <w:rsid w:val="00365828"/>
    <w:pPr>
      <w:tabs>
        <w:tab w:val="center" w:pos="4680"/>
        <w:tab w:val="right" w:pos="9360"/>
      </w:tabs>
    </w:pPr>
  </w:style>
  <w:style w:type="character" w:customStyle="1" w:styleId="HeaderChar">
    <w:name w:val="Header Char"/>
    <w:basedOn w:val="DefaultParagraphFont"/>
    <w:link w:val="Header"/>
    <w:rsid w:val="00365828"/>
    <w:rPr>
      <w:sz w:val="24"/>
      <w:szCs w:val="24"/>
    </w:rPr>
  </w:style>
  <w:style w:type="paragraph" w:styleId="Footer">
    <w:name w:val="footer"/>
    <w:basedOn w:val="Normal"/>
    <w:link w:val="FooterChar"/>
    <w:rsid w:val="00365828"/>
    <w:pPr>
      <w:tabs>
        <w:tab w:val="center" w:pos="4680"/>
        <w:tab w:val="right" w:pos="9360"/>
      </w:tabs>
    </w:pPr>
  </w:style>
  <w:style w:type="character" w:customStyle="1" w:styleId="FooterChar">
    <w:name w:val="Footer Char"/>
    <w:basedOn w:val="DefaultParagraphFont"/>
    <w:link w:val="Footer"/>
    <w:rsid w:val="00365828"/>
    <w:rPr>
      <w:sz w:val="24"/>
      <w:szCs w:val="24"/>
    </w:rPr>
  </w:style>
  <w:style w:type="character" w:styleId="Hyperlink">
    <w:name w:val="Hyperlink"/>
    <w:basedOn w:val="DefaultParagraphFont"/>
    <w:rsid w:val="00CB4F1A"/>
    <w:rPr>
      <w:color w:val="0000FF" w:themeColor="hyperlink"/>
      <w:u w:val="single"/>
    </w:rPr>
  </w:style>
  <w:style w:type="paragraph" w:styleId="NoSpacing">
    <w:name w:val="No Spacing"/>
    <w:basedOn w:val="Normal"/>
    <w:uiPriority w:val="1"/>
    <w:qFormat/>
    <w:rsid w:val="00B9464B"/>
    <w:rPr>
      <w:rFonts w:ascii="Calibri" w:eastAsiaTheme="minorHAnsi" w:hAnsi="Calibri" w:cstheme="majorBidi"/>
      <w:szCs w:val="20"/>
    </w:rPr>
  </w:style>
  <w:style w:type="paragraph" w:styleId="NormalWeb">
    <w:name w:val="Normal (Web)"/>
    <w:basedOn w:val="Normal"/>
    <w:uiPriority w:val="99"/>
    <w:unhideWhenUsed/>
    <w:rsid w:val="00C87E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483</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Carrollton High School</vt:lpstr>
    </vt:vector>
  </TitlesOfParts>
  <Company>Carrollton Ex. Village Schools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Carrollton High School</dc:title>
  <dc:creator>Tim Saxton</dc:creator>
  <cp:lastModifiedBy>Tyler Vallinger</cp:lastModifiedBy>
  <cp:revision>5</cp:revision>
  <cp:lastPrinted>2020-02-12T13:55:00Z</cp:lastPrinted>
  <dcterms:created xsi:type="dcterms:W3CDTF">2021-08-30T17:24:00Z</dcterms:created>
  <dcterms:modified xsi:type="dcterms:W3CDTF">2021-08-30T17:29:00Z</dcterms:modified>
</cp:coreProperties>
</file>